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6874"/>
        <w:gridCol w:w="3096"/>
      </w:tblGrid>
      <w:tr>
        <w:trPr>
          <w:trHeight w:val="639" w:hRule="auto"/>
          <w:jc w:val="left"/>
        </w:trPr>
        <w:tc>
          <w:tcPr>
            <w:tcW w:w="6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70" w:type="dxa"/>
              <w:right w:w="70" w:type="dxa"/>
            </w:tcMar>
            <w:vAlign w:val="top"/>
          </w:tcPr>
          <w:p>
            <w:pPr>
              <w:tabs>
                <w:tab w:val="left" w:pos="4153" w:leader="none"/>
                <w:tab w:val="left" w:pos="8306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70" w:type="dxa"/>
              <w:right w:w="7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Приложение №1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к решению 30  сессии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от   22.12..2017г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Таблица 1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Перечень главных администраторов налоговых и неналоговых доходов местного бюджета</w:t>
      </w:r>
    </w:p>
    <w:tbl>
      <w:tblPr>
        <w:tblInd w:w="108" w:type="dxa"/>
      </w:tblPr>
      <w:tblGrid>
        <w:gridCol w:w="851"/>
        <w:gridCol w:w="2149"/>
        <w:gridCol w:w="6781"/>
      </w:tblGrid>
      <w:tr>
        <w:trPr>
          <w:trHeight w:val="1" w:hRule="atLeast"/>
          <w:jc w:val="left"/>
          <w:cantSplit w:val="1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Код главы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Код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Наименование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Федеральная налоговая служба( Управление федеральной налоговой службы по Новосибирской области)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1 01 0201 001 0000 110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и 228 Налогового кодекса Российской Федерации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1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1 01 02030 01 0000 110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1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1 05 03010 01 0000 110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Единый сельскохозяйственный налог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1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1 05 03020 01 0000 110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Единый сельскохозяйственный налог (за налоговые периоды, истекшие до 1 января 2011 года)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1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1 06 01030 10 0000 110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Налог на имущество физических лиц, взимаемый  по ставкам, применяемым к объектам налогообложения,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 расположенным в границах поселений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 1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1 06 06033 10 0000 110 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Земельный налог с организаций, обладающих земельным участком расположенным в границах поселений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1</w:t>
            </w:r>
          </w:p>
        </w:tc>
      </w:tr>
      <w:tr>
        <w:trPr>
          <w:trHeight w:val="25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182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1 06 06043 10 0000 110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Земельный налог с физических лиц, обладающих земельным участком расположенным в границах поселений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  <w:vertAlign w:val="superscript"/>
              </w:rPr>
              <w:t xml:space="preserve">1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2"/>
                <w:shd w:fill="auto" w:val="clear"/>
              </w:rPr>
              <w:t xml:space="preserve"> 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Администрация  Осиновского сельсовета Чулымского района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1 11 09045 10 0000 120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 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1 13 01995 10 0000 130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Прочие доходы от оказания платных услуг получателями средств бюджетов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 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1 13 02065 10 0000 130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1 13 02995 10 0000 130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Прочие доходы от компенсации затрат  бюджетов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1 16 51040 02 0000 140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Денежные взыскания(штрафы), установленный законами субъектов РФ за несоблюдение муниципальных правовых актов, зачисляемые в бюджеты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1 17 01050 10 0000 180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Невыясненные поступления, зачисляемые в бюджеты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2 18 60010 10 0000 180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Доходы бюджетов поселений от возврата бюджетными учреждениями остатков субсидий прошлых лет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2 19 60010 10 0000 151  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Возврат  остатков субсидий, субвенций   и   иных   межбюджетных  трансфертов,  имеющих  целевое  назначение, прошлых лет,    из   бюджетов  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2 08 05000 10 0000 180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Перечисления из бюджетов муниципальных районов (в бюджеты муниципальных районов)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  осуществление  такого   возврата   и   процентов,начисленных на излишне взысканные суммы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555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2 07 05000 10 0000 180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Прочие безвозмездные поступления в бюджеты поселений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100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Федеральное казначейство (Межрегиональное операционное управление Федерального казначейства Управление Федерального казначейства по Новосибирской области).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100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1 03 02230 01 0000 110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100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1 03 02240 01 0000 110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100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1 03 02250 01 0000 110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>
        <w:trPr>
          <w:trHeight w:val="225" w:hRule="auto"/>
          <w:jc w:val="left"/>
        </w:trPr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8"/>
                <w:shd w:fill="auto" w:val="clear"/>
              </w:rPr>
              <w:t xml:space="preserve">100</w:t>
            </w:r>
          </w:p>
        </w:tc>
        <w:tc>
          <w:tcPr>
            <w:tcW w:w="2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1 03 02260 01 0000 110</w:t>
            </w:r>
          </w:p>
        </w:tc>
        <w:tc>
          <w:tcPr>
            <w:tcW w:w="6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</w:tbl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